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3.png" ContentType="image/png"/>
  <Override PartName="/word/media/rId54.png" ContentType="image/png"/>
  <Override PartName="/word/media/rId251.png" ContentType="image/png"/>
  <Override PartName="/word/media/rId50.png" ContentType="image/png"/>
  <Override PartName="/word/media/rId43.png" ContentType="image/png"/>
  <Override PartName="/word/media/rId267.png" ContentType="image/png"/>
  <Override PartName="/word/media/rId255.png" ContentType="image/png"/>
  <Override PartName="/word/media/rId28.png" ContentType="image/png"/>
  <Override PartName="/word/media/rId279.png" ContentType="image/png"/>
  <Override PartName="/word/media/rId62.png" ContentType="image/png"/>
  <Override PartName="/word/media/rId275.png" ContentType="image/png"/>
  <Override PartName="/word/media/rId271.png" ContentType="image/png"/>
  <Override PartName="/word/media/rId2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2024-10-15</w:t>
      </w:r>
    </w:p>
    <w:p>
      <w:pPr>
        <w:pStyle w:val="AbstractTitle"/>
      </w:pPr>
      <w:r>
        <w:t xml:space="preserve">Abstract</w:t>
      </w:r>
    </w:p>
    <w:p>
      <w:pPr>
        <w:pStyle w:val="Abstract"/>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influencing</w:t>
      </w:r>
      <w:r>
        <w:t xml:space="preserve"> </w:t>
      </w:r>
      <w:r>
        <w:t xml:space="preserve">the</w:t>
      </w:r>
      <w:r>
        <w:t xml:space="preserve"> </w:t>
      </w:r>
      <w:r>
        <w:t xml:space="preserve">spatiotemporal</w:t>
      </w:r>
      <w:r>
        <w:t xml:space="preserve"> </w:t>
      </w:r>
      <w:r>
        <w:t xml:space="preserve">dynamics</w:t>
      </w:r>
      <w:r>
        <w:t xml:space="preserve"> </w:t>
      </w:r>
      <w:r>
        <w:t xml:space="preserve">of</w:t>
      </w:r>
      <w:r>
        <w:t xml:space="preserve"> </w:t>
      </w:r>
      <w:r>
        <w:t xml:space="preserve">populations.</w:t>
      </w:r>
      <w:r>
        <w:t xml:space="preserve"> </w:t>
      </w:r>
      <w:r>
        <w:t xml:space="preserve">However,</w:t>
      </w:r>
      <w:r>
        <w:t xml:space="preserve"> </w:t>
      </w:r>
      <w:r>
        <w:t xml:space="preserve">few</w:t>
      </w:r>
      <w:r>
        <w:t xml:space="preserve"> </w:t>
      </w:r>
      <w:r>
        <w:t xml:space="preserve">studies</w:t>
      </w:r>
      <w:r>
        <w:t xml:space="preserve"> </w:t>
      </w:r>
      <w:r>
        <w:t xml:space="preserve">have</w:t>
      </w:r>
      <w:r>
        <w:t xml:space="preserve"> </w:t>
      </w:r>
      <w:r>
        <w:t xml:space="preserve">explored</w:t>
      </w:r>
      <w:r>
        <w:t xml:space="preserve"> </w:t>
      </w:r>
      <w:r>
        <w:t xml:space="preserve">this</w:t>
      </w:r>
      <w:r>
        <w:t xml:space="preserve"> </w:t>
      </w:r>
      <w:r>
        <w:t xml:space="preserve">pattern</w:t>
      </w:r>
      <w:r>
        <w:t xml:space="preserve"> </w:t>
      </w:r>
      <w:r>
        <w:t xml:space="preserve">across</w:t>
      </w:r>
      <w:r>
        <w:t xml:space="preserve"> </w:t>
      </w:r>
      <w:r>
        <w:t xml:space="preserve">multiple</w:t>
      </w:r>
      <w:r>
        <w:t xml:space="preserve"> </w:t>
      </w:r>
      <w:r>
        <w:t xml:space="preserve">scales.</w:t>
      </w:r>
      <w:r>
        <w:t xml:space="preserve"> </w:t>
      </w: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landscape-level</w:t>
      </w:r>
      <w:r>
        <w:t xml:space="preserve"> </w:t>
      </w:r>
      <w:r>
        <w:t xml:space="preserve">dynamics,</w:t>
      </w:r>
      <w:r>
        <w:t xml:space="preserve"> </w:t>
      </w:r>
      <w:r>
        <w:t xml:space="preserve">using</w:t>
      </w:r>
      <w:r>
        <w:t xml:space="preserve"> </w:t>
      </w:r>
      <w:r>
        <w:t xml:space="preserve">the</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Our</w:t>
      </w:r>
      <w:r>
        <w:t xml:space="preserve"> </w:t>
      </w:r>
      <w:r>
        <w:t xml:space="preserve">study</w:t>
      </w:r>
      <w:r>
        <w:t xml:space="preserve"> </w:t>
      </w:r>
      <w:r>
        <w:t xml:space="preserve">combined</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across</w:t>
      </w:r>
      <w:r>
        <w:t xml:space="preserve"> </w:t>
      </w:r>
      <w:r>
        <w:t xml:space="preserve">their</w:t>
      </w:r>
      <w:r>
        <w:t xml:space="preserve"> </w:t>
      </w:r>
      <w:r>
        <w:t xml:space="preserve">range.</w:t>
      </w:r>
      <w:r>
        <w:t xml:space="preserve"> </w:t>
      </w: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to</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exhibited</w:t>
      </w:r>
      <w:r>
        <w:t xml:space="preserve"> </w:t>
      </w:r>
      <w:r>
        <w:t xml:space="preserve">the</w:t>
      </w:r>
      <w:r>
        <w:t xml:space="preserve"> </w:t>
      </w:r>
      <w:r>
        <w:t xml:space="preserve">highest</w:t>
      </w:r>
      <w:r>
        <w:t xml:space="preserve"> </w:t>
      </w:r>
      <w:r>
        <w:t xml:space="preserve">growth</w:t>
      </w:r>
      <w:r>
        <w:t xml:space="preserve"> </w:t>
      </w:r>
      <w:r>
        <w:t xml:space="preserve">rates</w:t>
      </w:r>
      <w:r>
        <w:t xml:space="preserve"> </w:t>
      </w:r>
      <w:r>
        <w:t xml:space="preserve">and</w:t>
      </w:r>
      <w:r>
        <w:t xml:space="preserve"> </w:t>
      </w:r>
      <w:r>
        <w:t xml:space="preserve">shortest</w:t>
      </w:r>
      <w:r>
        <w:t xml:space="preserve"> </w:t>
      </w:r>
      <w:r>
        <w:t xml:space="preserve">development</w:t>
      </w:r>
      <w:r>
        <w:t xml:space="preserve"> </w:t>
      </w:r>
      <w:r>
        <w:t xml:space="preserve">times</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matching</w:t>
      </w:r>
      <w:r>
        <w:t xml:space="preserve"> </w:t>
      </w:r>
      <w:r>
        <w:t xml:space="preserve">this</w:t>
      </w:r>
      <w:r>
        <w:t xml:space="preserve"> </w:t>
      </w:r>
      <w:r>
        <w:t xml:space="preserve">1p:2c</w:t>
      </w:r>
      <w:r>
        <w:t xml:space="preserve"> </w:t>
      </w:r>
      <w:r>
        <w:t xml:space="preserve">ratio</w:t>
      </w:r>
      <w:r>
        <w:t xml:space="preserve"> </w:t>
      </w:r>
      <w:r>
        <w:t xml:space="preserve">during</w:t>
      </w:r>
      <w:r>
        <w:t xml:space="preserve"> </w:t>
      </w:r>
      <w:r>
        <w:t xml:space="preserve">their</w:t>
      </w:r>
      <w:r>
        <w:t xml:space="preserve"> </w:t>
      </w:r>
      <w:r>
        <w:t xml:space="preserve">final</w:t>
      </w:r>
      <w:r>
        <w:t xml:space="preserve"> </w:t>
      </w:r>
      <w:r>
        <w:t xml:space="preserve">juvenile</w:t>
      </w:r>
      <w:r>
        <w:t xml:space="preserve"> </w:t>
      </w:r>
      <w:r>
        <w:t xml:space="preserve">instar.</w:t>
      </w:r>
      <w:r>
        <w:t xml:space="preserve"> </w:t>
      </w:r>
      <w:r>
        <w:t xml:space="preserve">In</w:t>
      </w:r>
      <w:r>
        <w:t xml:space="preserve"> </w:t>
      </w:r>
      <w:r>
        <w:t xml:space="preserve">the</w:t>
      </w:r>
      <w:r>
        <w:t xml:space="preserve"> </w:t>
      </w:r>
      <w:r>
        <w:t xml:space="preserve">field,</w:t>
      </w:r>
      <w:r>
        <w:t xml:space="preserve"> </w:t>
      </w:r>
      <w:r>
        <w:t xml:space="preserve">locusts</w:t>
      </w:r>
      <w:r>
        <w:t xml:space="preserve"> </w:t>
      </w:r>
      <w:r>
        <w:t xml:space="preserve">exposed</w:t>
      </w:r>
      <w:r>
        <w:t xml:space="preserve"> </w:t>
      </w:r>
      <w:r>
        <w:t xml:space="preserve">to</w:t>
      </w:r>
      <w:r>
        <w:t xml:space="preserve"> </w:t>
      </w:r>
      <w:r>
        <w:t xml:space="preserve">protein-biased</w:t>
      </w:r>
      <w:r>
        <w:t xml:space="preserve"> </w:t>
      </w:r>
      <w:r>
        <w:t xml:space="preserve">plants</w:t>
      </w:r>
      <w:r>
        <w:t xml:space="preserve"> </w:t>
      </w:r>
      <w:r>
        <w:t xml:space="preserve">corrected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carbohydrate-heavy</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over</w:t>
      </w:r>
      <w:r>
        <w:t xml:space="preserve"> </w:t>
      </w:r>
      <w:r>
        <w:t xml:space="preserve">a</w:t>
      </w:r>
      <w:r>
        <w:t xml:space="preserve"> </w:t>
      </w:r>
      <w:r>
        <w:t xml:space="preserve">week</w:t>
      </w:r>
      <w:r>
        <w:t xml:space="preserve"> </w:t>
      </w:r>
      <w:r>
        <w:t xml:space="preserve">after</w:t>
      </w:r>
      <w:r>
        <w:t xml:space="preserve"> </w:t>
      </w:r>
      <w:r>
        <w:t xml:space="preserve">removal</w:t>
      </w:r>
      <w:r>
        <w:t xml:space="preserve"> </w:t>
      </w:r>
      <w:r>
        <w:t xml:space="preserve">from</w:t>
      </w:r>
      <w:r>
        <w:t xml:space="preserve"> </w:t>
      </w:r>
      <w:r>
        <w:t xml:space="preserve">the</w:t>
      </w:r>
      <w:r>
        <w:t xml:space="preserve"> </w:t>
      </w:r>
      <w:r>
        <w:t xml:space="preserve">protein-rich</w:t>
      </w:r>
      <w:r>
        <w:t xml:space="preserve"> </w:t>
      </w:r>
      <w:r>
        <w:t xml:space="preserve">environment,</w:t>
      </w:r>
      <w:r>
        <w:t xml:space="preserve"> </w:t>
      </w:r>
      <w:r>
        <w:t xml:space="preserve">returning</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balanced.</w:t>
      </w:r>
      <w:r>
        <w:t xml:space="preserve"> </w:t>
      </w:r>
      <w:r>
        <w:t xml:space="preserve">At</w:t>
      </w:r>
      <w:r>
        <w:t xml:space="preserve"> </w:t>
      </w:r>
      <w:r>
        <w:t xml:space="preserve">the</w:t>
      </w:r>
      <w:r>
        <w:t xml:space="preserve"> </w:t>
      </w:r>
      <w:r>
        <w:t xml:space="preserve">landscape</w:t>
      </w:r>
      <w:r>
        <w:t xml:space="preserve"> </w:t>
      </w:r>
      <w:r>
        <w:t xml:space="preserve">level,</w:t>
      </w:r>
      <w:r>
        <w:t xml:space="preserve"> </w:t>
      </w:r>
      <w:r>
        <w:t xml:space="preserve">locust</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exhibited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phosphorus</w:t>
      </w:r>
      <w:r>
        <w:t xml:space="preserve"> </w:t>
      </w:r>
      <w:r>
        <w:t xml:space="preserve">content.</w:t>
      </w:r>
      <w:r>
        <w:t xml:space="preserve"> </w:t>
      </w:r>
      <w:r>
        <w:t xml:space="preserve">By</w:t>
      </w:r>
      <w:r>
        <w:t xml:space="preserve"> </w:t>
      </w:r>
      <w:r>
        <w:t xml:space="preserve">disentangling</w:t>
      </w:r>
      <w:r>
        <w:t xml:space="preserve"> </w:t>
      </w:r>
      <w:r>
        <w:t xml:space="preserve">the</w:t>
      </w:r>
      <w:r>
        <w:t xml:space="preserve"> </w:t>
      </w:r>
      <w:r>
        <w:t xml:space="preserve">interaction</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using</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spanning</w:t>
      </w:r>
      <w:r>
        <w:t xml:space="preserve"> </w:t>
      </w:r>
      <w:r>
        <w:t xml:space="preserve">decades,</w:t>
      </w:r>
      <w:r>
        <w:t xml:space="preserve"> </w:t>
      </w:r>
      <w:r>
        <w:t xml:space="preserve">we</w:t>
      </w:r>
      <w:r>
        <w:t xml:space="preserve"> </w:t>
      </w:r>
      <w:r>
        <w:t xml:space="preserve">show</w:t>
      </w:r>
      <w:r>
        <w:t xml:space="preserve"> </w:t>
      </w:r>
      <w:r>
        <w:t xml:space="preserve">how</w:t>
      </w:r>
      <w:r>
        <w:t xml:space="preserve"> </w:t>
      </w:r>
      <w:r>
        <w:t xml:space="preserve">environmental</w:t>
      </w:r>
      <w:r>
        <w:t xml:space="preserve"> </w:t>
      </w:r>
      <w:r>
        <w:t xml:space="preserve">factors</w:t>
      </w:r>
      <w:r>
        <w:t xml:space="preserve"> </w:t>
      </w:r>
      <w:r>
        <w:t xml:space="preserve">drive</w:t>
      </w:r>
      <w:r>
        <w:t xml:space="preserve"> </w:t>
      </w:r>
      <w:r>
        <w:t xml:space="preserve">population</w:t>
      </w:r>
      <w:r>
        <w:t xml:space="preserve"> </w:t>
      </w:r>
      <w:r>
        <w:t xml:space="preserve">dynamics.</w:t>
      </w:r>
      <w:r>
        <w:t xml:space="preserve"> </w:t>
      </w:r>
      <w:r>
        <w:t xml:space="preserve">This</w:t>
      </w:r>
      <w:r>
        <w:t xml:space="preserve"> </w:t>
      </w:r>
      <w:r>
        <w:t xml:space="preserve">study</w:t>
      </w:r>
      <w:r>
        <w:t xml:space="preserve"> </w:t>
      </w:r>
      <w:r>
        <w:t xml:space="preserve">integrates</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highlighting</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we</w:t>
      </w:r>
      <w:r>
        <w:t xml:space="preserve"> </w:t>
      </w:r>
      <w:r>
        <w:t xml:space="preserve">demonstrate</w:t>
      </w:r>
      <w:r>
        <w:t xml:space="preserve"> </w:t>
      </w:r>
      <w:r>
        <w:t xml:space="preserve">that</w:t>
      </w:r>
      <w:r>
        <w:t xml:space="preserve"> </w:t>
      </w:r>
      <w:r>
        <w:t xml:space="preserve">low-nitrogen</w:t>
      </w:r>
      <w:r>
        <w:t xml:space="preserve"> </w:t>
      </w:r>
      <w:r>
        <w:t xml:space="preserve">environments</w:t>
      </w:r>
      <w:r>
        <w:t xml:space="preserve"> </w:t>
      </w:r>
      <w:r>
        <w:t xml:space="preserve">promote</w:t>
      </w:r>
      <w:r>
        <w:t xml:space="preserve"> </w:t>
      </w:r>
      <w:r>
        <w:t xml:space="preserve">locust</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protein-to-carbohydrate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could</w:t>
      </w:r>
      <w:r>
        <w:t xml:space="preserve"> </w:t>
      </w:r>
      <w:r>
        <w:t xml:space="preserve">significantly</w:t>
      </w:r>
      <w:r>
        <w:t xml:space="preserve"> </w:t>
      </w:r>
      <w:r>
        <w:t xml:space="preserve">improve</w:t>
      </w:r>
      <w:r>
        <w:t xml:space="preserve"> </w:t>
      </w:r>
      <w:r>
        <w:t xml:space="preserve">prediction</w:t>
      </w:r>
      <w:r>
        <w:t xml:space="preserve"> </w:t>
      </w:r>
      <w:r>
        <w:t xml:space="preserve">accuracy.</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and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(Zhou et al. 2019, 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and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Zhu et al. 2019, Welti et al. 2020a, b, Zhu et al. 2020, Ozment et al. 2021)</w:t>
      </w:r>
      <w:r>
        <w:t xml:space="preserve">, or not related</w:t>
      </w:r>
      <w:r>
        <w:t xml:space="preserve"> </w:t>
      </w:r>
      <w:r>
        <w:t xml:space="preserve">(Heidorn and Joern 1987, Jonas and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(Orians and Milewski 2007, Morton et al. 2011)</w:t>
      </w:r>
      <w:r>
        <w:t xml:space="preserve">. Nutrients such as nitrogen and phosphorus are in short supply in unmodified soils. Subsequently, many native animals and plants are adapted to environments low in soil nutrients</w:t>
      </w:r>
      <w:r>
        <w:t xml:space="preserve"> </w:t>
      </w:r>
      <w:r>
        <w:t xml:space="preserve">(Orians and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1"/>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(Zhang et al. 2014, Cease et al. 2016)</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experiments-1"/>
    <w:p>
      <w:pPr>
        <w:pStyle w:val="Heading3"/>
      </w:pPr>
      <w:r>
        <w:t xml:space="preserve">2.5.3 Field Cage Experiments</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
    <w:p>
      <w:pPr>
        <w:pStyle w:val="Heading2"/>
      </w:pPr>
      <w:r>
        <w:t xml:space="preserve">3.3 Locust outbreaks</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287" w:name="references"/>
    <w:p>
      <w:pPr>
        <w:pStyle w:val="Heading1"/>
      </w:pPr>
      <w:r>
        <w:t xml:space="preserve">5. REFERENCES</w:t>
      </w:r>
    </w:p>
    <w:bookmarkStart w:id="250"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rnays_dietary_1994"/>
    <w:p>
      <w:pPr>
        <w:pStyle w:val="Bibliography"/>
      </w:pPr>
      <w:r>
        <w:t xml:space="preserve">Bernays, E. A., Bright, K. L., Gonzalez, N. and Angel, J. 1994.</w:t>
      </w:r>
      <w:r>
        <w:t xml:space="preserve"> </w:t>
      </w:r>
      <w:hyperlink r:id="rId83">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4"/>
    <w:bookmarkStart w:id="86" w:name="ref-bridgeman_feeding_2012"/>
    <w:p>
      <w:pPr>
        <w:pStyle w:val="Bibliography"/>
      </w:pPr>
      <w:r>
        <w:t xml:space="preserve">Bridgeman, L. L. 2012.</w:t>
      </w:r>
      <w:r>
        <w:t xml:space="preserve"> </w:t>
      </w:r>
      <w:hyperlink r:id="rId85">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6"/>
    <w:bookmarkStart w:id="88" w:name="ref-brosemann_nutrient_2023"/>
    <w:p>
      <w:pPr>
        <w:pStyle w:val="Bibliography"/>
      </w:pPr>
      <w:r>
        <w:t xml:space="preserve">Brosemann, J., Overson, R., Cease, A. J., Millerwise, S. and Le Gall, M. 2023.</w:t>
      </w:r>
      <w:r>
        <w:t xml:space="preserve"> </w:t>
      </w:r>
      <w:hyperlink r:id="rId87">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88"/>
    <w:bookmarkStart w:id="90" w:name="ref-brown_relationship_2002"/>
    <w:p>
      <w:pPr>
        <w:pStyle w:val="Bibliography"/>
      </w:pPr>
      <w:r>
        <w:t xml:space="preserve">Brown, A. S. S., Simmonds, M. S. J. and Blaney, W. M. 2002.</w:t>
      </w:r>
      <w:r>
        <w:t xml:space="preserve"> </w:t>
      </w:r>
      <w:hyperlink r:id="rId89">
        <w:r>
          <w:rPr>
            <w:rStyle w:val="Hyperlink"/>
          </w:rPr>
          <w:t xml:space="preserve">Relationship between nutritional composition of plant species and infestation levels of thrips</w:t>
        </w:r>
      </w:hyperlink>
      <w:r>
        <w:t xml:space="preserve">. - Journal of Chemical Ecology 28: 2399–2409.</w:t>
      </w:r>
    </w:p>
    <w:bookmarkEnd w:id="90"/>
    <w:bookmarkStart w:id="92" w:name="ref-cease_how_2024"/>
    <w:p>
      <w:pPr>
        <w:pStyle w:val="Bibliography"/>
      </w:pPr>
      <w:r>
        <w:t xml:space="preserve">Cease, A. J. 2024.</w:t>
      </w:r>
      <w:r>
        <w:t xml:space="preserve"> </w:t>
      </w:r>
      <w:hyperlink r:id="rId91">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2"/>
    <w:bookmarkStart w:id="94" w:name="ref-cease_heavy_2012"/>
    <w:p>
      <w:pPr>
        <w:pStyle w:val="Bibliography"/>
      </w:pPr>
      <w:r>
        <w:t xml:space="preserve">Cease, A. J., Elser, J. J., Ford, C. F., Hao, S., Kang, L. and Harrison, J. F. 2012.</w:t>
      </w:r>
      <w:r>
        <w:t xml:space="preserve"> </w:t>
      </w:r>
      <w:hyperlink r:id="rId93">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4"/>
    <w:bookmarkStart w:id="96" w:name="ref-cease_living_2015"/>
    <w:p>
      <w:pPr>
        <w:pStyle w:val="Bibliography"/>
      </w:pPr>
      <w:r>
        <w:t xml:space="preserve">Cease, A. J., Elser, J. J., Fenichel, E. P., Hadrich, J. C., Harrison, J. F. and Robinson, B. E. 2015.</w:t>
      </w:r>
      <w:r>
        <w:t xml:space="preserve"> </w:t>
      </w:r>
      <w:hyperlink r:id="rId95">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6"/>
    <w:bookmarkStart w:id="98" w:name="ref-cease_dietary_2016"/>
    <w:p>
      <w:pPr>
        <w:pStyle w:val="Bibliography"/>
      </w:pPr>
      <w:r>
        <w:t xml:space="preserve">Cease, A. J., Fay, M., Elser, J. J. and Harrison, J. F. 2016.</w:t>
      </w:r>
      <w:r>
        <w:t xml:space="preserve"> </w:t>
      </w:r>
      <w:hyperlink r:id="rId97">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98"/>
    <w:bookmarkStart w:id="100" w:name="ref-cease_field_2023"/>
    <w:p>
      <w:pPr>
        <w:pStyle w:val="Bibliography"/>
      </w:pPr>
      <w:r>
        <w:t xml:space="preserve">Cease, A. J., Trumper, E. V., Medina, H., Bazán, F. C., Frana, J., Harrison, J., Joaquin, N., Learned, J., Roca, M., Rojas, J. E., Talal, S. and Overson, R. P. 2023.</w:t>
      </w:r>
      <w:r>
        <w:t xml:space="preserve"> </w:t>
      </w:r>
      <w:hyperlink r:id="rId99">
        <w:r>
          <w:rPr>
            <w:rStyle w:val="Hyperlink"/>
          </w:rPr>
          <w:t xml:space="preserve">Field bands of marching locust juveniles show carbohydrate, not protein, limitation</w:t>
        </w:r>
      </w:hyperlink>
      <w:r>
        <w:t xml:space="preserve">. - Current Research in Insect Science 4: 100069.</w:t>
      </w:r>
    </w:p>
    <w:bookmarkEnd w:id="100"/>
    <w:bookmarkStart w:id="102" w:name="ref-cheng_geometry_2008"/>
    <w:p>
      <w:pPr>
        <w:pStyle w:val="Bibliography"/>
      </w:pPr>
      <w:r>
        <w:t xml:space="preserve">Cheng, K., Simpson, S. J. and Raubenheimer, D. 2008.</w:t>
      </w:r>
      <w:r>
        <w:t xml:space="preserve"> </w:t>
      </w:r>
      <w:hyperlink r:id="rId101">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2"/>
    <w:bookmarkStart w:id="104" w:name="ref-clark_influence_1974"/>
    <w:p>
      <w:pPr>
        <w:pStyle w:val="Bibliography"/>
      </w:pPr>
      <w:r>
        <w:t xml:space="preserve">Clark, D. 1974.</w:t>
      </w:r>
      <w:r>
        <w:t xml:space="preserve"> </w:t>
      </w:r>
      <w:hyperlink r:id="rId103">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4"/>
    <w:bookmarkStart w:id="106" w:name="ref-clayton_spatial_1993"/>
    <w:p>
      <w:pPr>
        <w:pStyle w:val="Bibliography"/>
      </w:pPr>
      <w:r>
        <w:t xml:space="preserve">Clayton, D. G., Bernardinelli, L. and Montomoli, C. 1993.</w:t>
      </w:r>
      <w:r>
        <w:t xml:space="preserve"> </w:t>
      </w:r>
      <w:hyperlink r:id="rId105">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6"/>
    <w:bookmarkStart w:id="108" w:name="ref-clissold_insect_2013"/>
    <w:p>
      <w:pPr>
        <w:pStyle w:val="Bibliography"/>
      </w:pPr>
      <w:r>
        <w:t xml:space="preserve">Clissold, F. J., Coggan, N. and Simpson, S. J. 2013.</w:t>
      </w:r>
      <w:r>
        <w:t xml:space="preserve"> </w:t>
      </w:r>
      <w:hyperlink r:id="rId107">
        <w:r>
          <w:rPr>
            <w:rStyle w:val="Hyperlink"/>
          </w:rPr>
          <w:t xml:space="preserve">Insect herbivores can choose microclimates to achieve nutritional homeostasis</w:t>
        </w:r>
      </w:hyperlink>
      <w:r>
        <w:t xml:space="preserve">. - Journal of Experimental Biology: jeb.078782.</w:t>
      </w:r>
    </w:p>
    <w:bookmarkEnd w:id="108"/>
    <w:bookmarkStart w:id="110" w:name="ref-clissold_regulation_2014"/>
    <w:p>
      <w:pPr>
        <w:pStyle w:val="Bibliography"/>
      </w:pPr>
      <w:r>
        <w:t xml:space="preserve">Clissold, F. J., Kertesz, H., Saul, A. M., Sheehan, J. L. and Simpson, S. J. 2014.</w:t>
      </w:r>
      <w:r>
        <w:t xml:space="preserve"> </w:t>
      </w:r>
      <w:hyperlink r:id="rId109">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0"/>
    <w:bookmarkStart w:id="112" w:name="ref-cole_influence_1978"/>
    <w:p>
      <w:pPr>
        <w:pStyle w:val="Bibliography"/>
      </w:pPr>
      <w:r>
        <w:t xml:space="preserve">Cole, F. R. and Batzli, G. O. 1978.</w:t>
      </w:r>
      <w:r>
        <w:t xml:space="preserve"> </w:t>
      </w:r>
      <w:hyperlink r:id="rId111">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2"/>
    <w:bookmarkStart w:id="114" w:name="ref-cressman_role_2013"/>
    <w:p>
      <w:pPr>
        <w:pStyle w:val="Bibliography"/>
      </w:pPr>
      <w:r>
        <w:t xml:space="preserve">Cressman, K. 2013.</w:t>
      </w:r>
      <w:r>
        <w:t xml:space="preserve"> </w:t>
      </w:r>
      <w:hyperlink r:id="rId113">
        <w:r>
          <w:rPr>
            <w:rStyle w:val="Hyperlink"/>
          </w:rPr>
          <w:t xml:space="preserve">Role of remote sensing in desert locust early warning</w:t>
        </w:r>
      </w:hyperlink>
      <w:r>
        <w:t xml:space="preserve">. - Journal of Applied Remote Sensing 7: 075098.</w:t>
      </w:r>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5">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6"/>
    <w:bookmarkStart w:id="118" w:name="ref-dadd_nutritional_1961"/>
    <w:p>
      <w:pPr>
        <w:pStyle w:val="Bibliography"/>
      </w:pPr>
      <w:r>
        <w:t xml:space="preserve">Dadd, R. H. 1961.</w:t>
      </w:r>
      <w:r>
        <w:t xml:space="preserve"> </w:t>
      </w:r>
      <w:hyperlink r:id="rId117">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18"/>
    <w:bookmarkStart w:id="120"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19">
        <w:r>
          <w:rPr>
            <w:rStyle w:val="Hyperlink"/>
          </w:rPr>
          <w:t xml:space="preserve">Defoliation-induced changes in foliage quality may trigger broad-scale insect outbreaks</w:t>
        </w:r>
      </w:hyperlink>
      <w:r>
        <w:t xml:space="preserve">. - Communications Biology 5: 463.</w:t>
      </w:r>
    </w:p>
    <w:bookmarkEnd w:id="120"/>
    <w:bookmarkStart w:id="122" w:name="ref-deveson_satellite_2013"/>
    <w:p>
      <w:pPr>
        <w:pStyle w:val="Bibliography"/>
      </w:pPr>
      <w:r>
        <w:t xml:space="preserve">Deveson, E. D. 2013.</w:t>
      </w:r>
      <w:r>
        <w:t xml:space="preserve"> </w:t>
      </w:r>
      <w:hyperlink r:id="rId121">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2"/>
    <w:bookmarkStart w:id="124" w:name="ref-deveson_operation_2002"/>
    <w:p>
      <w:pPr>
        <w:pStyle w:val="Bibliography"/>
      </w:pPr>
      <w:r>
        <w:t xml:space="preserve">Deveson, T. and Hunter, D. 2002.</w:t>
      </w:r>
      <w:r>
        <w:t xml:space="preserve"> </w:t>
      </w:r>
      <w:hyperlink r:id="rId123">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4"/>
    <w:bookmarkStart w:id="126" w:name="ref-deveson_not_2005"/>
    <w:p>
      <w:pPr>
        <w:pStyle w:val="Bibliography"/>
      </w:pPr>
      <w:r>
        <w:t xml:space="preserve">Deveson, E. D. and Walker, P. W. 2005.</w:t>
      </w:r>
      <w:r>
        <w:t xml:space="preserve"> </w:t>
      </w:r>
      <w:hyperlink r:id="rId125">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7"/>
    <w:bookmarkStart w:id="129" w:name="ref-doonan_effects_1995"/>
    <w:p>
      <w:pPr>
        <w:pStyle w:val="Bibliography"/>
      </w:pPr>
      <w:r>
        <w:t xml:space="preserve">Doonan, T. J. and Slade, N. A. 1995.</w:t>
      </w:r>
      <w:r>
        <w:t xml:space="preserve"> </w:t>
      </w:r>
      <w:hyperlink r:id="rId128">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29"/>
    <w:bookmarkStart w:id="131"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0">
        <w:r>
          <w:rPr>
            <w:rStyle w:val="Hyperlink"/>
          </w:rPr>
          <w:t xml:space="preserve">Nutritional constraints in terrestrial and freshwater food webs</w:t>
        </w:r>
      </w:hyperlink>
      <w:r>
        <w:t xml:space="preserve">. - Nature 408: 578–580.</w:t>
      </w:r>
    </w:p>
    <w:bookmarkEnd w:id="131"/>
    <w:bookmarkStart w:id="133" w:name="ref-farrow_population_1982"/>
    <w:p>
      <w:pPr>
        <w:pStyle w:val="Bibliography"/>
      </w:pPr>
      <w:r>
        <w:t xml:space="preserve">Farrow, R. 1982.</w:t>
      </w:r>
      <w:r>
        <w:t xml:space="preserve"> </w:t>
      </w:r>
      <w:hyperlink r:id="rId132">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3"/>
    <w:bookmarkStart w:id="134" w:name="ref-floyd_frontiers_1996"/>
    <w:p>
      <w:pPr>
        <w:pStyle w:val="Bibliography"/>
      </w:pPr>
      <w:r>
        <w:t xml:space="preserve"> </w:t>
      </w:r>
      <w:r>
        <w:t xml:space="preserve">1996. Frontiers of population ecology (RB Floyd, Ed.). - CSIRO Pub.</w:t>
      </w:r>
    </w:p>
    <w:bookmarkEnd w:id="134"/>
    <w:bookmarkStart w:id="136" w:name="ref-forero_conspecific_2002"/>
    <w:p>
      <w:pPr>
        <w:pStyle w:val="Bibliography"/>
      </w:pPr>
      <w:r>
        <w:t xml:space="preserve">Forero, M. G., Tella, J. L., Hobson, K. A., Bertellotti, M. and Blanco, G. 2002.</w:t>
      </w:r>
      <w:r>
        <w:t xml:space="preserve"> </w:t>
      </w:r>
      <w:hyperlink r:id="rId135">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6"/>
    <w:bookmarkStart w:id="138"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7">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38"/>
    <w:bookmarkStart w:id="140" w:name="ref-gorelick_google_2017"/>
    <w:p>
      <w:pPr>
        <w:pStyle w:val="Bibliography"/>
      </w:pPr>
      <w:r>
        <w:t xml:space="preserve">Gorelick, N., Hancher, M., Dixon, M., Ilyushchenko, S., Thau, D. and Moore, R. 2017.</w:t>
      </w:r>
      <w:r>
        <w:t xml:space="preserve"> </w:t>
      </w:r>
      <w:hyperlink r:id="rId139">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0"/>
    <w:bookmarkStart w:id="142" w:name="ref-granbom_food_2006"/>
    <w:p>
      <w:pPr>
        <w:pStyle w:val="Bibliography"/>
      </w:pPr>
      <w:r>
        <w:t xml:space="preserve">Granbom, M. and Smith, H. G. 2006.</w:t>
      </w:r>
      <w:r>
        <w:t xml:space="preserve"> </w:t>
      </w:r>
      <w:hyperlink r:id="rId141">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2"/>
    <w:bookmarkStart w:id="144" w:name="ref-grundy_soil_2015"/>
    <w:p>
      <w:pPr>
        <w:pStyle w:val="Bibliography"/>
      </w:pPr>
      <w:r>
        <w:t xml:space="preserve">Grundy, M. J., Rossel, R. A. V., Searle, R. D., Wilson, P. L., Chen, C. and Gregory, L. J. 2015.</w:t>
      </w:r>
      <w:r>
        <w:t xml:space="preserve"> </w:t>
      </w:r>
      <w:hyperlink r:id="rId143">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4"/>
    <w:bookmarkStart w:id="146" w:name="ref-hansson_food_1979"/>
    <w:p>
      <w:pPr>
        <w:pStyle w:val="Bibliography"/>
      </w:pPr>
      <w:r>
        <w:t xml:space="preserve">Hansson, L. 1979.</w:t>
      </w:r>
      <w:r>
        <w:t xml:space="preserve"> </w:t>
      </w:r>
      <w:hyperlink r:id="rId145">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6"/>
    <w:bookmarkStart w:id="148" w:name="ref-harrison_synthesis_2014"/>
    <w:p>
      <w:pPr>
        <w:pStyle w:val="Bibliography"/>
      </w:pPr>
      <w:r>
        <w:t xml:space="preserve">Harrison, S. J., Raubenheimer, D., Simpson, S. J., Godin, J.-G. J. and Bertram, S. M. 2014.</w:t>
      </w:r>
      <w:r>
        <w:t xml:space="preserve"> </w:t>
      </w:r>
      <w:hyperlink r:id="rId147">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48"/>
    <w:bookmarkStart w:id="150" w:name="ref-heidorn_feeding_1987"/>
    <w:p>
      <w:pPr>
        <w:pStyle w:val="Bibliography"/>
      </w:pPr>
      <w:r>
        <w:t xml:space="preserve">Heidorn, T. J. and Joern, A. 1987.</w:t>
      </w:r>
      <w:r>
        <w:t xml:space="preserve"> </w:t>
      </w:r>
      <w:hyperlink r:id="rId149">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0"/>
    <w:bookmarkStart w:id="152" w:name="ref-huberty_consequences_2006"/>
    <w:p>
      <w:pPr>
        <w:pStyle w:val="Bibliography"/>
      </w:pPr>
      <w:r>
        <w:t xml:space="preserve">Huberty, A. F. and Denno, R. F. 2006.</w:t>
      </w:r>
      <w:r>
        <w:t xml:space="preserve"> </w:t>
      </w:r>
      <w:hyperlink r:id="rId151">
        <w:r>
          <w:rPr>
            <w:rStyle w:val="Hyperlink"/>
          </w:rPr>
          <w:t xml:space="preserve">Consequences of nitrogen and phosphorus limitation for the performance of two planthoppers with divergent life-history strategies</w:t>
        </w:r>
      </w:hyperlink>
      <w:r>
        <w:t xml:space="preserve">. - Oecologia 149: 444–455.</w:t>
      </w:r>
    </w:p>
    <w:bookmarkEnd w:id="152"/>
    <w:bookmarkStart w:id="154" w:name="ref-hunter_adaptations_2001"/>
    <w:p>
      <w:pPr>
        <w:pStyle w:val="Bibliography"/>
      </w:pPr>
      <w:r>
        <w:t xml:space="preserve">Hunter, D. M., Walker, P. W. and Elder, R. J. 2001.</w:t>
      </w:r>
      <w:r>
        <w:t xml:space="preserve"> </w:t>
      </w:r>
      <w:hyperlink r:id="rId153">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4"/>
    <w:bookmarkStart w:id="156" w:name="ref-hunter_aerial_2008"/>
    <w:p>
      <w:pPr>
        <w:pStyle w:val="Bibliography"/>
      </w:pPr>
      <w:r>
        <w:t xml:space="preserve">Hunter, D. M., McCulloch, L. and Spurgin, P. A. 2008.</w:t>
      </w:r>
      <w:r>
        <w:t xml:space="preserve"> </w:t>
      </w:r>
      <w:hyperlink r:id="rId155">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6"/>
    <w:bookmarkStart w:id="158" w:name="ref-joern_not_2012"/>
    <w:p>
      <w:pPr>
        <w:pStyle w:val="Bibliography"/>
      </w:pPr>
      <w:r>
        <w:t xml:space="preserve">Joern, A., Provin, T. and Behmer, S. T. 2012.</w:t>
      </w:r>
      <w:r>
        <w:t xml:space="preserve"> </w:t>
      </w:r>
      <w:hyperlink r:id="rId157">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58"/>
    <w:bookmarkStart w:id="160" w:name="ref-jonas_hostplant_2008"/>
    <w:p>
      <w:pPr>
        <w:pStyle w:val="Bibliography"/>
      </w:pPr>
      <w:r>
        <w:t xml:space="preserve">Jonas, J. L. and Joern, A. 2008.</w:t>
      </w:r>
      <w:r>
        <w:t xml:space="preserve"> </w:t>
      </w:r>
      <w:hyperlink r:id="rId159">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0"/>
    <w:bookmarkStart w:id="162" w:name="ref-keith_role_1983"/>
    <w:p>
      <w:pPr>
        <w:pStyle w:val="Bibliography"/>
      </w:pPr>
      <w:r>
        <w:t xml:space="preserve">Keith, L. B. 1983.</w:t>
      </w:r>
      <w:r>
        <w:t xml:space="preserve"> </w:t>
      </w:r>
      <w:hyperlink r:id="rId161">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2"/>
    <w:bookmarkStart w:id="164" w:name="ref-key_general_1945"/>
    <w:p>
      <w:pPr>
        <w:pStyle w:val="Bibliography"/>
      </w:pPr>
      <w:r>
        <w:t xml:space="preserve">Key, K. H. L. 1945.</w:t>
      </w:r>
      <w:r>
        <w:t xml:space="preserve"> </w:t>
      </w:r>
      <w:hyperlink r:id="rId163">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4"/>
    <w:bookmarkStart w:id="166" w:name="ref-lawton_woody_2020"/>
    <w:p>
      <w:pPr>
        <w:pStyle w:val="Bibliography"/>
      </w:pPr>
      <w:r>
        <w:t xml:space="preserve">Lawton, D., Waters, C., Le Gall, M. and Cease, A. 2020.</w:t>
      </w:r>
      <w:r>
        <w:t xml:space="preserve"> </w:t>
      </w:r>
      <w:hyperlink r:id="rId165">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6"/>
    <w:bookmarkStart w:id="168" w:name="ref-lawton_mismatched_2021"/>
    <w:p>
      <w:pPr>
        <w:pStyle w:val="Bibliography"/>
      </w:pPr>
      <w:r>
        <w:t xml:space="preserve">Lawton, D., Le Gall, M., Waters, C. and Cease, A. J. 2021.</w:t>
      </w:r>
      <w:r>
        <w:t xml:space="preserve"> </w:t>
      </w:r>
      <w:hyperlink r:id="rId167">
        <w:r>
          <w:rPr>
            <w:rStyle w:val="Hyperlink"/>
          </w:rPr>
          <w:t xml:space="preserve">Mismatched diets: Defining the nutritional landscape of grasshopper communities in a variable environment</w:t>
        </w:r>
      </w:hyperlink>
      <w:r>
        <w:t xml:space="preserve">. - Ecosphere 12: e03409.</w:t>
      </w:r>
    </w:p>
    <w:bookmarkEnd w:id="168"/>
    <w:bookmarkStart w:id="170" w:name="ref-lawton_seeing_2022"/>
    <w:p>
      <w:pPr>
        <w:pStyle w:val="Bibliography"/>
      </w:pPr>
      <w:r>
        <w:t xml:space="preserve">Lawton, D., Scarth, P., Deveson, E., Piou, C., Spessa, A., Waters, C. and Cease, A. J. 2022.</w:t>
      </w:r>
      <w:r>
        <w:t xml:space="preserve"> </w:t>
      </w:r>
      <w:hyperlink r:id="rId169">
        <w:r>
          <w:rPr>
            <w:rStyle w:val="Hyperlink"/>
          </w:rPr>
          <w:t xml:space="preserve">Seeing the locust in the swarm: Accounting for spatiotemporal hierarchy improves ecological models of insect populations</w:t>
        </w:r>
      </w:hyperlink>
      <w:r>
        <w:t xml:space="preserve">. - Ecography 2022: ecog.05763.</w:t>
      </w:r>
    </w:p>
    <w:bookmarkEnd w:id="170"/>
    <w:bookmarkStart w:id="172" w:name="ref-le_gall_global_2019"/>
    <w:p>
      <w:pPr>
        <w:pStyle w:val="Bibliography"/>
      </w:pPr>
      <w:r>
        <w:t xml:space="preserve">Le Gall, M., Overson, R. and Cease, A. 2019.</w:t>
      </w:r>
      <w:r>
        <w:t xml:space="preserve"> </w:t>
      </w:r>
      <w:hyperlink r:id="rId171">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2"/>
    <w:bookmarkStart w:id="174" w:name="ref-lenhart_water_2015"/>
    <w:p>
      <w:pPr>
        <w:pStyle w:val="Bibliography"/>
      </w:pPr>
      <w:r>
        <w:t xml:space="preserve">Lenhart, P. A., Eubanks, M. D. and Behmer, S. T. 2015.</w:t>
      </w:r>
      <w:r>
        <w:t xml:space="preserve"> </w:t>
      </w:r>
      <w:hyperlink r:id="rId173">
        <w:r>
          <w:rPr>
            <w:rStyle w:val="Hyperlink"/>
          </w:rPr>
          <w:t xml:space="preserve">Water stress in grasslands: Dynamic responses of plants and insect herbivores</w:t>
        </w:r>
      </w:hyperlink>
      <w:r>
        <w:t xml:space="preserve">. - Oikos 124: 381–390.</w:t>
      </w:r>
    </w:p>
    <w:bookmarkEnd w:id="174"/>
    <w:bookmarkStart w:id="176" w:name="ref-loaiza2011"/>
    <w:p>
      <w:pPr>
        <w:pStyle w:val="Bibliography"/>
      </w:pPr>
      <w:r>
        <w:t xml:space="preserve">Loaiza, V., Jonas, J. L. and Joern, A. 2011.</w:t>
      </w:r>
      <w:r>
        <w:t xml:space="preserve"> </w:t>
      </w:r>
      <w:hyperlink r:id="rId175">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6"/>
    <w:bookmarkStart w:id="178" w:name="ref-marsh_decline_1995"/>
    <w:p>
      <w:pPr>
        <w:pStyle w:val="Bibliography"/>
      </w:pPr>
      <w:r>
        <w:t xml:space="preserve">Marsh, N. and Adams, M. 1995.</w:t>
      </w:r>
      <w:r>
        <w:t xml:space="preserve"> </w:t>
      </w:r>
      <w:hyperlink r:id="rId177">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78"/>
    <w:bookmarkStart w:id="180" w:name="ref-mattson_herbivory_1980"/>
    <w:p>
      <w:pPr>
        <w:pStyle w:val="Bibliography"/>
      </w:pPr>
      <w:r>
        <w:t xml:space="preserve">Mattson, W. J. 1980.</w:t>
      </w:r>
      <w:r>
        <w:t xml:space="preserve"> </w:t>
      </w:r>
      <w:hyperlink r:id="rId179">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0"/>
    <w:bookmarkStart w:id="182" w:name="ref-millist_nicola_benefitcost_nodate"/>
    <w:p>
      <w:pPr>
        <w:pStyle w:val="Bibliography"/>
      </w:pPr>
      <w:r>
        <w:t xml:space="preserve">Millist, N. and Ali, A. 2011.</w:t>
      </w:r>
      <w:r>
        <w:t xml:space="preserve"> </w:t>
      </w:r>
      <w:hyperlink r:id="rId181">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3">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85">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86"/>
    <w:bookmarkStart w:id="188" w:name="ref-nie_obligate_2015"/>
    <w:p>
      <w:pPr>
        <w:pStyle w:val="Bibliography"/>
      </w:pPr>
      <w:r>
        <w:t xml:space="preserve">Nie, Y., Zhang, Z., Raubenheimer, D., Elser, J. J., Wei, W. and Wei, F. 2015.</w:t>
      </w:r>
      <w:r>
        <w:t xml:space="preserve"> </w:t>
      </w:r>
      <w:hyperlink r:id="rId187">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88"/>
    <w:bookmarkStart w:id="190" w:name="ref-noy-meir_desert_1974"/>
    <w:p>
      <w:pPr>
        <w:pStyle w:val="Bibliography"/>
      </w:pPr>
      <w:r>
        <w:t xml:space="preserve">Noy-Meir, I. 1974.</w:t>
      </w:r>
      <w:r>
        <w:t xml:space="preserve"> </w:t>
      </w:r>
      <w:hyperlink r:id="rId189">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0"/>
    <w:bookmarkStart w:id="192" w:name="ref-orians_ecology_2007"/>
    <w:p>
      <w:pPr>
        <w:pStyle w:val="Bibliography"/>
      </w:pPr>
      <w:r>
        <w:t xml:space="preserve">Orians, G. H. and Milewski, A. V. 2007.</w:t>
      </w:r>
      <w:r>
        <w:t xml:space="preserve"> </w:t>
      </w:r>
      <w:hyperlink r:id="rId191">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2"/>
    <w:bookmarkStart w:id="194" w:name="ref-ozment_tracking_2021"/>
    <w:p>
      <w:pPr>
        <w:pStyle w:val="Bibliography"/>
      </w:pPr>
      <w:r>
        <w:t xml:space="preserve">Ozment, K. A., Welti, E. A. R., Shaffer, M. and Kaspari, M. 2021.</w:t>
      </w:r>
      <w:r>
        <w:t xml:space="preserve"> </w:t>
      </w:r>
      <w:hyperlink r:id="rId193">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4"/>
    <w:bookmarkStart w:id="196" w:name="ref-parlin_cost_2023"/>
    <w:p>
      <w:pPr>
        <w:pStyle w:val="Bibliography"/>
      </w:pPr>
      <w:r>
        <w:t xml:space="preserve">Parlin, A. F., Kendzel, M. J., Taylor, O. R., Culley, T. M., Matter, S. F. and Guerra, P. A. 2023.</w:t>
      </w:r>
      <w:r>
        <w:t xml:space="preserve"> </w:t>
      </w:r>
      <w:hyperlink r:id="rId195">
        <w:r>
          <w:rPr>
            <w:rStyle w:val="Hyperlink"/>
          </w:rPr>
          <w:t xml:space="preserve">The cost of movement: Assessing energy expenditure in a long-distant ectothermic migrant under climate change</w:t>
        </w:r>
      </w:hyperlink>
      <w:r>
        <w:t xml:space="preserve">. - Journal of Experimental Biology 226: jeb245296.</w:t>
      </w:r>
    </w:p>
    <w:bookmarkEnd w:id="196"/>
    <w:bookmarkStart w:id="198" w:name="ref-perkins_dietary_2004"/>
    <w:p>
      <w:pPr>
        <w:pStyle w:val="Bibliography"/>
      </w:pPr>
      <w:r>
        <w:t xml:space="preserve">Perkins, M. C., Woods, H. A., Harrison, J. F. and Elser, J. J. 2004.</w:t>
      </w:r>
      <w:r>
        <w:t xml:space="preserve"> </w:t>
      </w:r>
      <w:hyperlink r:id="rId197">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198"/>
    <w:bookmarkStart w:id="200" w:name="ref-randolph_nutritional_1995"/>
    <w:p>
      <w:pPr>
        <w:pStyle w:val="Bibliography"/>
      </w:pPr>
      <w:r>
        <w:t xml:space="preserve">Randolph, J. C., Cameron, G. N. and McClure, P. A. 1995.</w:t>
      </w:r>
      <w:r>
        <w:t xml:space="preserve"> </w:t>
      </w:r>
      <w:hyperlink r:id="rId199">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0"/>
    <w:bookmarkStart w:id="202" w:name="ref-raubenheimer_integrative_1997"/>
    <w:p>
      <w:pPr>
        <w:pStyle w:val="Bibliography"/>
      </w:pPr>
      <w:r>
        <w:t xml:space="preserve">Raubenheimer, D. and Simpson, S. J. 1997.</w:t>
      </w:r>
      <w:r>
        <w:t xml:space="preserve"> </w:t>
      </w:r>
      <w:hyperlink r:id="rId201">
        <w:r>
          <w:rPr>
            <w:rStyle w:val="Hyperlink"/>
          </w:rPr>
          <w:t xml:space="preserve">Integrative models of nutrient balancing: Application to insects and vertebrates</w:t>
        </w:r>
      </w:hyperlink>
      <w:r>
        <w:t xml:space="preserve">. - Nutrition Research Reviews 10: 151–179.</w:t>
      </w:r>
    </w:p>
    <w:bookmarkEnd w:id="202"/>
    <w:bookmarkStart w:id="204" w:name="ref-raubenheimer_nutritional_2013"/>
    <w:p>
      <w:pPr>
        <w:pStyle w:val="Bibliography"/>
      </w:pPr>
      <w:r>
        <w:t xml:space="preserve">Raubenheimer, D. and Rothman, J. M. 2013.</w:t>
      </w:r>
      <w:r>
        <w:t xml:space="preserve"> </w:t>
      </w:r>
      <w:hyperlink r:id="rId203">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04"/>
    <w:bookmarkStart w:id="206" w:name="ref-schade_stoichiometric_2003"/>
    <w:p>
      <w:pPr>
        <w:pStyle w:val="Bibliography"/>
      </w:pPr>
      <w:r>
        <w:t xml:space="preserve">Schade, J. D., Kyle, M., Hobbie, S. E., Fagan, W. F. and Elser, J. J. 2003.</w:t>
      </w:r>
      <w:r>
        <w:t xml:space="preserve"> </w:t>
      </w:r>
      <w:hyperlink r:id="rId205">
        <w:r>
          <w:rPr>
            <w:rStyle w:val="Hyperlink"/>
          </w:rPr>
          <w:t xml:space="preserve">Stoichiometric tracking of soil nutrients by a desert insect herbivore</w:t>
        </w:r>
      </w:hyperlink>
      <w:r>
        <w:t xml:space="preserve">. - Ecology Letters 6: 96–101.</w:t>
      </w:r>
    </w:p>
    <w:bookmarkEnd w:id="206"/>
    <w:bookmarkStart w:id="208" w:name="ref-simpson_compensation_1985"/>
    <w:p>
      <w:pPr>
        <w:pStyle w:val="Bibliography"/>
      </w:pPr>
      <w:r>
        <w:t xml:space="preserve">Simpson, S. J. and Abisgold, J. D. 1985.</w:t>
      </w:r>
      <w:r>
        <w:t xml:space="preserve"> </w:t>
      </w:r>
      <w:hyperlink r:id="rId207">
        <w:r>
          <w:rPr>
            <w:rStyle w:val="Hyperlink"/>
          </w:rPr>
          <w:t xml:space="preserve">Compensation by locusts for changes in dietary nutrients: Behavioural mechanisms</w:t>
        </w:r>
      </w:hyperlink>
      <w:r>
        <w:t xml:space="preserve">. - Physiological Entomology 10: 443–452.</w:t>
      </w:r>
    </w:p>
    <w:bookmarkEnd w:id="208"/>
    <w:bookmarkStart w:id="209" w:name="ref-simpson2012"/>
    <w:p>
      <w:pPr>
        <w:pStyle w:val="Bibliography"/>
      </w:pPr>
      <w:r>
        <w:t xml:space="preserve">Simpson, S. J. and Raubenheimer, D. 2012a. The nature of nutrition: A unifying framework from animal adaptation to human obesity. - Princeton university press.</w:t>
      </w:r>
    </w:p>
    <w:bookmarkEnd w:id="209"/>
    <w:bookmarkStart w:id="211" w:name="ref-simpson_nature_2012"/>
    <w:p>
      <w:pPr>
        <w:pStyle w:val="Bibliography"/>
      </w:pPr>
      <w:r>
        <w:t xml:space="preserve">Simpson, S. J. and Raubenheimer, D. 2012b.</w:t>
      </w:r>
      <w:r>
        <w:t xml:space="preserve"> </w:t>
      </w:r>
      <w:hyperlink r:id="rId210">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1"/>
    <w:bookmarkStart w:id="213" w:name="ref-talal_plant_2020"/>
    <w:p>
      <w:pPr>
        <w:pStyle w:val="Bibliography"/>
      </w:pPr>
      <w:r>
        <w:t xml:space="preserve">Talal, S., Cease, A. J., Youngblood, J. P., Farington, R., Trumper, E. V., Medina, H. E., Rojas, J. E., Fernando Copa, A. and Harrison, J. F. 2020.</w:t>
      </w:r>
      <w:r>
        <w:t xml:space="preserve"> </w:t>
      </w:r>
      <w:hyperlink r:id="rId212">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13"/>
    <w:bookmarkStart w:id="215" w:name="ref-talal_high_2021"/>
    <w:p>
      <w:pPr>
        <w:pStyle w:val="Bibliography"/>
      </w:pPr>
      <w:r>
        <w:t xml:space="preserve">Talal, S., Cease, A., Farington, R., Medina, H. E., Rojas, J. and Harrison, J. 2021.</w:t>
      </w:r>
      <w:r>
        <w:t xml:space="preserve"> </w:t>
      </w:r>
      <w:hyperlink r:id="rId214">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15"/>
    <w:bookmarkStart w:id="217" w:name="ref-talal_body_2023"/>
    <w:p>
      <w:pPr>
        <w:pStyle w:val="Bibliography"/>
      </w:pPr>
      <w:r>
        <w:t xml:space="preserve">Talal, S., Harrison, J. F., Farington, R., Youngblood, J. P., Medina, H. E., Overson, R. and Cease, A. J. 2023.</w:t>
      </w:r>
      <w:r>
        <w:t xml:space="preserve"> </w:t>
      </w:r>
      <w:hyperlink r:id="rId216">
        <w:r>
          <w:rPr>
            <w:rStyle w:val="Hyperlink"/>
          </w:rPr>
          <w:t xml:space="preserve">Body mass and growth rates predict protein intake across animals</w:t>
        </w:r>
      </w:hyperlink>
      <w:r>
        <w:t xml:space="preserve">.</w:t>
      </w:r>
    </w:p>
    <w:bookmarkEnd w:id="217"/>
    <w:bookmarkStart w:id="219" w:name="ref-tyrrell_relative_1999"/>
    <w:p>
      <w:pPr>
        <w:pStyle w:val="Bibliography"/>
      </w:pPr>
      <w:r>
        <w:t xml:space="preserve">Tyrrell, T. 1999.</w:t>
      </w:r>
      <w:r>
        <w:t xml:space="preserve"> </w:t>
      </w:r>
      <w:hyperlink r:id="rId218">
        <w:r>
          <w:rPr>
            <w:rStyle w:val="Hyperlink"/>
          </w:rPr>
          <w:t xml:space="preserve">The relative influences of nitrogen and phosphorus on oceanic primary production</w:t>
        </w:r>
      </w:hyperlink>
      <w:r>
        <w:t xml:space="preserve">. - Nature 400: 525–531.</w:t>
      </w:r>
    </w:p>
    <w:bookmarkEnd w:id="219"/>
    <w:bookmarkStart w:id="220"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20"/>
    <w:bookmarkStart w:id="222" w:name="ref-veran_modeling_2015"/>
    <w:p>
      <w:pPr>
        <w:pStyle w:val="Bibliography"/>
      </w:pPr>
      <w:r>
        <w:t xml:space="preserve">Veran, S., Simpson, S. J., Sword, G. A., Deveson, E., Piry, S., Hines, J. E. and Berthier, K. 2015.</w:t>
      </w:r>
      <w:r>
        <w:t xml:space="preserve"> </w:t>
      </w:r>
      <w:hyperlink r:id="rId221">
        <w:r>
          <w:rPr>
            <w:rStyle w:val="Hyperlink"/>
          </w:rPr>
          <w:t xml:space="preserve">Modeling spatiotemporal dynamics of outbreaking species: Influence of environment and migration in a locust</w:t>
        </w:r>
      </w:hyperlink>
      <w:r>
        <w:t xml:space="preserve">. - Ecology 96: 737–748.</w:t>
      </w:r>
    </w:p>
    <w:bookmarkEnd w:id="222"/>
    <w:bookmarkStart w:id="224" w:name="ref-vitousek_terrestrial_2010"/>
    <w:p>
      <w:pPr>
        <w:pStyle w:val="Bibliography"/>
      </w:pPr>
      <w:r>
        <w:t xml:space="preserve">Vitousek, P. M., Porder, S., Houlton, B. Z. and Chadwick, O. A. 2010.</w:t>
      </w:r>
      <w:r>
        <w:t xml:space="preserve"> </w:t>
      </w:r>
      <w:hyperlink r:id="rId223">
        <w:r>
          <w:rPr>
            <w:rStyle w:val="Hyperlink"/>
          </w:rPr>
          <w:t xml:space="preserve">Terrestrial phosphorus limitation: Mechanisms, implications, and nitrogen–phosphorus interactions</w:t>
        </w:r>
      </w:hyperlink>
      <w:r>
        <w:t xml:space="preserve">. - Ecological Applications 20: 5–15.</w:t>
      </w:r>
    </w:p>
    <w:bookmarkEnd w:id="224"/>
    <w:bookmarkStart w:id="226" w:name="ref-welti_nutrient_2020"/>
    <w:p>
      <w:pPr>
        <w:pStyle w:val="Bibliography"/>
      </w:pPr>
      <w:r>
        <w:t xml:space="preserve">Welti, E. A. R., Roeder, K. A., De Beurs, K. M., Joern, A. and Kaspari, M. 2020a.</w:t>
      </w:r>
      <w:r>
        <w:t xml:space="preserve"> </w:t>
      </w:r>
      <w:hyperlink r:id="rId225">
        <w:r>
          <w:rPr>
            <w:rStyle w:val="Hyperlink"/>
          </w:rPr>
          <w:t xml:space="preserve">Nutrient dilution and climate cycles underlie declines in a dominant insect herbivore</w:t>
        </w:r>
      </w:hyperlink>
      <w:r>
        <w:t xml:space="preserve">. - Proceedings of the National Academy of Sciences 117: 7271–7275.</w:t>
      </w:r>
    </w:p>
    <w:bookmarkEnd w:id="226"/>
    <w:bookmarkStart w:id="228" w:name="ref-welti_bottomup_2020"/>
    <w:p>
      <w:pPr>
        <w:pStyle w:val="Bibliography"/>
      </w:pPr>
      <w:r>
        <w:t xml:space="preserve">Welti, E. A. R., Prather, R. M., Sanders, N. J., De Beurs, K. M. and Kaspari, M. 2020b.</w:t>
      </w:r>
      <w:r>
        <w:t xml:space="preserve"> </w:t>
      </w:r>
      <w:hyperlink r:id="rId227">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28"/>
    <w:bookmarkStart w:id="230" w:name="ref-white_importance_1978"/>
    <w:p>
      <w:pPr>
        <w:pStyle w:val="Bibliography"/>
      </w:pPr>
      <w:r>
        <w:t xml:space="preserve">White, T. C. R. 1978.</w:t>
      </w:r>
      <w:r>
        <w:t xml:space="preserve"> </w:t>
      </w:r>
      <w:hyperlink r:id="rId229">
        <w:r>
          <w:rPr>
            <w:rStyle w:val="Hyperlink"/>
          </w:rPr>
          <w:t xml:space="preserve">The importance of a relative shortage of food in animal ecology</w:t>
        </w:r>
      </w:hyperlink>
      <w:r>
        <w:t xml:space="preserve">. - Oecologia 33: 71–86.</w:t>
      </w:r>
    </w:p>
    <w:bookmarkEnd w:id="230"/>
    <w:bookmarkStart w:id="232" w:name="ref-white_inadequate_1993"/>
    <w:p>
      <w:pPr>
        <w:pStyle w:val="Bibliography"/>
      </w:pPr>
      <w:r>
        <w:t xml:space="preserve">White, T. C. R. 1993.</w:t>
      </w:r>
      <w:r>
        <w:t xml:space="preserve"> </w:t>
      </w:r>
      <w:hyperlink r:id="rId231">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32"/>
    <w:bookmarkStart w:id="234" w:name="ref-white_role_2008"/>
    <w:p>
      <w:pPr>
        <w:pStyle w:val="Bibliography"/>
      </w:pPr>
      <w:r>
        <w:t xml:space="preserve">White, T. C. R. 2008.</w:t>
      </w:r>
      <w:r>
        <w:t xml:space="preserve"> </w:t>
      </w:r>
      <w:hyperlink r:id="rId233">
        <w:r>
          <w:rPr>
            <w:rStyle w:val="Hyperlink"/>
          </w:rPr>
          <w:t xml:space="preserve">The role of food, weather and climate in limiting the abundance of animals</w:t>
        </w:r>
      </w:hyperlink>
      <w:r>
        <w:t xml:space="preserve">. - Biological Reviews 83: 227–248.</w:t>
      </w:r>
    </w:p>
    <w:bookmarkEnd w:id="234"/>
    <w:bookmarkStart w:id="235" w:name="ref-whitford_ecology_2002"/>
    <w:p>
      <w:pPr>
        <w:pStyle w:val="Bibliography"/>
      </w:pPr>
      <w:r>
        <w:t xml:space="preserve">Whitford, W. G. 2002. Ecology of desert systems. - Academic Press.</w:t>
      </w:r>
    </w:p>
    <w:bookmarkEnd w:id="235"/>
    <w:bookmarkStart w:id="237" w:name="ref-wilson_dietary_2019"/>
    <w:p>
      <w:pPr>
        <w:pStyle w:val="Bibliography"/>
      </w:pPr>
      <w:r>
        <w:t xml:space="preserve">Wilson, J. K., Ruiz, L. and Davidowitz, G. 2019a.</w:t>
      </w:r>
      <w:r>
        <w:t xml:space="preserve"> </w:t>
      </w:r>
      <w:hyperlink r:id="rId236">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37"/>
    <w:bookmarkStart w:id="239" w:name="ref-wilson_nutritional_2019"/>
    <w:p>
      <w:pPr>
        <w:pStyle w:val="Bibliography"/>
      </w:pPr>
      <w:r>
        <w:t xml:space="preserve">Wilson, J. K., Ruiz, L., Duarte, J. and Davidowitz, G. 2019b.</w:t>
      </w:r>
      <w:r>
        <w:t xml:space="preserve"> </w:t>
      </w:r>
      <w:hyperlink r:id="rId238">
        <w:r>
          <w:rPr>
            <w:rStyle w:val="Hyperlink"/>
          </w:rPr>
          <w:t xml:space="preserve">The nutritional landscape of host plants for a specialist insect herbivore</w:t>
        </w:r>
      </w:hyperlink>
      <w:r>
        <w:t xml:space="preserve">. - Ecology and Evolution 9: 13104–13113.</w:t>
      </w:r>
    </w:p>
    <w:bookmarkEnd w:id="239"/>
    <w:bookmarkStart w:id="241" w:name="ref-word_soil-targeted_2019"/>
    <w:p>
      <w:pPr>
        <w:pStyle w:val="Bibliography"/>
      </w:pPr>
      <w:r>
        <w:t xml:space="preserve">Word, M. L., Hall, S. J., Robinson, B. E., Manneh, B., Beye, A. and Cease, A. J. 2019.</w:t>
      </w:r>
      <w:r>
        <w:t xml:space="preserve"> </w:t>
      </w:r>
      <w:hyperlink r:id="rId240">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41"/>
    <w:bookmarkStart w:id="243" w:name="ref-zhang_grasshoppers_2014"/>
    <w:p>
      <w:pPr>
        <w:pStyle w:val="Bibliography"/>
      </w:pPr>
      <w:r>
        <w:t xml:space="preserve">Zhang, Z., Elser, J. J., Cease, A. J., Zhang, X., Yu, Q., Han, X. and Zhang, G. 2014.</w:t>
      </w:r>
      <w:r>
        <w:t xml:space="preserve"> </w:t>
      </w:r>
      <w:hyperlink r:id="rId242">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43"/>
    <w:bookmarkStart w:id="245" w:name="ref-zhou_increased_2019"/>
    <w:p>
      <w:pPr>
        <w:pStyle w:val="Bibliography"/>
      </w:pPr>
      <w:r>
        <w:t xml:space="preserve">Zhou, X., Liu, X., Zhang, P., Guo, Z. and Du, G. 2019.</w:t>
      </w:r>
      <w:r>
        <w:t xml:space="preserve"> </w:t>
      </w:r>
      <w:hyperlink r:id="rId244">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45"/>
    <w:bookmarkStart w:id="247" w:name="ref-zhu_negative_2019"/>
    <w:p>
      <w:pPr>
        <w:pStyle w:val="Bibliography"/>
      </w:pPr>
      <w:r>
        <w:t xml:space="preserve">Zhu, Y., Zhong, Z., Pagès, J. F., Finke, D., Wang, D., Ma, Q., Hassan, N., Zhu, H. and Wang, L. 2019.</w:t>
      </w:r>
      <w:r>
        <w:t xml:space="preserve"> </w:t>
      </w:r>
      <w:hyperlink r:id="rId246">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47"/>
    <w:bookmarkStart w:id="249" w:name="ref-zhu_effects_2020"/>
    <w:p>
      <w:pPr>
        <w:pStyle w:val="Bibliography"/>
      </w:pPr>
      <w:r>
        <w:t xml:space="preserve">Zhu, H., Nkurunziza, V., Wang, J., Guo, Q., Ruan, H. and Wang, D. 2020.</w:t>
      </w:r>
      <w:r>
        <w:t xml:space="preserve"> </w:t>
      </w:r>
      <w:hyperlink r:id="rId248">
        <w:r>
          <w:rPr>
            <w:rStyle w:val="Hyperlink"/>
          </w:rPr>
          <w:t xml:space="preserve">Effects of large herbivore grazing on grasshopper behaviour and abundance in a meadow steppe</w:t>
        </w:r>
      </w:hyperlink>
      <w:r>
        <w:t xml:space="preserve">. - Ecological Entomology 45: 1357–1366.</w:t>
      </w:r>
    </w:p>
    <w:bookmarkEnd w:id="249"/>
    <w:bookmarkEnd w:id="250"/>
    <w:tbl>
      <w:tblPr>
        <w:tblStyle w:val="Table"/>
        <w:tblW w:type="pct" w:w="5000"/>
        <w:tblLayout w:type="fixed"/>
        <w:tblLook w:firstRow="0" w:lastRow="0" w:firstColumn="0" w:lastColumn="0" w:noHBand="0" w:noVBand="0" w:val="0000"/>
      </w:tblPr>
      <w:tblGrid>
        <w:gridCol w:w="7920"/>
      </w:tblGrid>
      <w:tr>
        <w:tc>
          <w:tcPr/>
          <w:bookmarkStart w:id="254" w:name="X9625992a90a6042132e1270593c3c56aa030b33"/>
          <w:p>
            <w:pPr>
              <w:pStyle w:val="Compact"/>
              <w:jc w:val="center"/>
            </w:pPr>
            <w:r>
              <w:drawing>
                <wp:inline>
                  <wp:extent cx="4267200" cy="6400800"/>
                  <wp:effectExtent b="0" l="0" r="0" t="0"/>
                  <wp:docPr descr="" title="" id="252" name="Picture"/>
                  <a:graphic>
                    <a:graphicData uri="http://schemas.openxmlformats.org/drawingml/2006/picture">
                      <pic:pic>
                        <pic:nvPicPr>
                          <pic:cNvPr descr="output/publication_figures/field_cage_plant_and_soil_nutrient_correlations.png" id="253" name="Picture"/>
                          <pic:cNvPicPr>
                            <a:picLocks noChangeArrowheads="1" noChangeAspect="1"/>
                          </pic:cNvPicPr>
                        </pic:nvPicPr>
                        <pic:blipFill>
                          <a:blip r:embed="rId25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8" w:name="suppfig-grid-example"/>
          <w:p>
            <w:pPr>
              <w:pStyle w:val="Compact"/>
              <w:jc w:val="center"/>
            </w:pPr>
            <w:r>
              <w:drawing>
                <wp:inline>
                  <wp:extent cx="5334000" cy="3098760"/>
                  <wp:effectExtent b="0" l="0" r="0" t="0"/>
                  <wp:docPr descr="" title="" id="256" name="Picture"/>
                  <a:graphic>
                    <a:graphicData uri="http://schemas.openxmlformats.org/drawingml/2006/picture">
                      <pic:pic>
                        <pic:nvPicPr>
                          <pic:cNvPr descr="output/publication_figures/spatial_modeling_grid_example_map.png" id="257" name="Picture"/>
                          <pic:cNvPicPr>
                            <a:picLocks noChangeArrowheads="1" noChangeAspect="1"/>
                          </pic:cNvPicPr>
                        </pic:nvPicPr>
                        <pic:blipFill>
                          <a:blip r:embed="rId255"/>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2" w:name="suppfig-field-pop-nutrients"/>
          <w:p>
            <w:pPr>
              <w:pStyle w:val="Compact"/>
              <w:jc w:val="center"/>
            </w:pPr>
            <w:r>
              <w:drawing>
                <wp:inline>
                  <wp:extent cx="5334000" cy="5334000"/>
                  <wp:effectExtent b="0" l="0" r="0" t="0"/>
                  <wp:docPr descr="" title="" id="260" name="Picture"/>
                  <a:graphic>
                    <a:graphicData uri="http://schemas.openxmlformats.org/drawingml/2006/picture">
                      <pic:pic>
                        <pic:nvPicPr>
                          <pic:cNvPr descr="output/publication_figures/supplement_figure_3.png" id="261" name="Picture"/>
                          <pic:cNvPicPr>
                            <a:picLocks noChangeArrowheads="1" noChangeAspect="1"/>
                          </pic:cNvPicPr>
                        </pic:nvPicPr>
                        <pic:blipFill>
                          <a:blip r:embed="rId25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suppfig-field-cage-rebalancing-facet"/>
          <w:p>
            <w:pPr>
              <w:pStyle w:val="Compact"/>
              <w:jc w:val="center"/>
            </w:pPr>
            <w:r>
              <w:drawing>
                <wp:inline>
                  <wp:extent cx="5334000" cy="3555999"/>
                  <wp:effectExtent b="0" l="0" r="0" t="0"/>
                  <wp:docPr descr="" title="" id="264" name="Picture"/>
                  <a:graphic>
                    <a:graphicData uri="http://schemas.openxmlformats.org/drawingml/2006/picture">
                      <pic:pic>
                        <pic:nvPicPr>
                          <pic:cNvPr descr="output/publication_figures/field_cage_locust_intake_rebalance_day_facet_plot.png" id="265" name="Picture"/>
                          <pic:cNvPicPr>
                            <a:picLocks noChangeArrowheads="1" noChangeAspect="1"/>
                          </pic:cNvPicPr>
                        </pic:nvPicPr>
                        <pic:blipFill>
                          <a:blip r:embed="rId263"/>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0" w:name="suppfig-spatial-modeling-env-corr"/>
          <w:p>
            <w:pPr>
              <w:pStyle w:val="Compact"/>
              <w:jc w:val="center"/>
            </w:pPr>
            <w:r>
              <w:drawing>
                <wp:inline>
                  <wp:extent cx="4267200" cy="6400800"/>
                  <wp:effectExtent b="0" l="0" r="0" t="0"/>
                  <wp:docPr descr="" title="" id="268" name="Picture"/>
                  <a:graphic>
                    <a:graphicData uri="http://schemas.openxmlformats.org/drawingml/2006/picture">
                      <pic:pic>
                        <pic:nvPicPr>
                          <pic:cNvPr descr="output/publication_figures/spatial_modeling_environment_correlation_figure.png" id="269" name="Picture"/>
                          <pic:cNvPicPr>
                            <a:picLocks noChangeArrowheads="1" noChangeAspect="1"/>
                          </pic:cNvPicPr>
                        </pic:nvPicPr>
                        <pic:blipFill>
                          <a:blip r:embed="rId267"/>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5a0228d52521d7fdab8c7d0c33a120219a95dc0"/>
          <w:p>
            <w:pPr>
              <w:pStyle w:val="Compact"/>
              <w:jc w:val="center"/>
            </w:pPr>
            <w:r>
              <w:drawing>
                <wp:inline>
                  <wp:extent cx="4267200" cy="6400800"/>
                  <wp:effectExtent b="0" l="0" r="0" t="0"/>
                  <wp:docPr descr="" title="" id="272" name="Picture"/>
                  <a:graphic>
                    <a:graphicData uri="http://schemas.openxmlformats.org/drawingml/2006/picture">
                      <pic:pic>
                        <pic:nvPicPr>
                          <pic:cNvPr descr="output/publication_figures/spatial_modeling_outbreak_all_model_variables.png" id="273" name="Picture"/>
                          <pic:cNvPicPr>
                            <a:picLocks noChangeArrowheads="1" noChangeAspect="1"/>
                          </pic:cNvPicPr>
                        </pic:nvPicPr>
                        <pic:blipFill>
                          <a:blip r:embed="rId27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8" w:name="suppfig-spatial-modeling-nil-all-vars"/>
          <w:p>
            <w:pPr>
              <w:pStyle w:val="Compact"/>
              <w:jc w:val="center"/>
            </w:pPr>
            <w:r>
              <w:drawing>
                <wp:inline>
                  <wp:extent cx="4267200" cy="6400800"/>
                  <wp:effectExtent b="0" l="0" r="0" t="0"/>
                  <wp:docPr descr="" title="" id="276" name="Picture"/>
                  <a:graphic>
                    <a:graphicData uri="http://schemas.openxmlformats.org/drawingml/2006/picture">
                      <pic:pic>
                        <pic:nvPicPr>
                          <pic:cNvPr descr="output/publication_figures/spatial_modeling_nil_all_model_variables.png" id="277" name="Picture"/>
                          <pic:cNvPicPr>
                            <a:picLocks noChangeArrowheads="1" noChangeAspect="1"/>
                          </pic:cNvPicPr>
                        </pic:nvPicPr>
                        <pic:blipFill>
                          <a:blip r:embed="rId27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Xd6c67fdba5d1811b777076e9a212d54cfecde0e"/>
          <w:p>
            <w:pPr>
              <w:pStyle w:val="Compact"/>
              <w:jc w:val="center"/>
            </w:pPr>
            <w:r>
              <w:drawing>
                <wp:inline>
                  <wp:extent cx="4587290" cy="4587290"/>
                  <wp:effectExtent b="0" l="0" r="0" t="0"/>
                  <wp:docPr descr="" title="" id="280" name="Picture"/>
                  <a:graphic>
                    <a:graphicData uri="http://schemas.openxmlformats.org/drawingml/2006/picture">
                      <pic:pic>
                        <pic:nvPicPr>
                          <pic:cNvPr descr="output/publication_figures/spatial_modeling_locust_outbreak_with_map.png" id="281" name="Picture"/>
                          <pic:cNvPicPr>
                            <a:picLocks noChangeArrowheads="1" noChangeAspect="1"/>
                          </pic:cNvPicPr>
                        </pic:nvPicPr>
                        <pic:blipFill>
                          <a:blip r:embed="rId279"/>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2"/>
        </w:tc>
      </w:tr>
    </w:tbl>
    <w:p/>
    <w:tbl>
      <w:tblPr>
        <w:tblStyle w:val="Table"/>
        <w:tblW w:type="pct" w:w="5000"/>
        <w:tblLayout w:type="fixed"/>
        <w:tblLook w:firstRow="0" w:lastRow="0" w:firstColumn="0" w:lastColumn="0" w:noHBand="0" w:noVBand="0" w:val="0000"/>
      </w:tblPr>
      <w:tblGrid>
        <w:gridCol w:w="7920"/>
      </w:tblGrid>
      <w:tr>
        <w:tc>
          <w:tcPr/>
          <w:bookmarkStart w:id="283"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283"/>
        </w:tc>
      </w:tr>
    </w:tbl>
    <w:p/>
    <w:tbl>
      <w:tblPr>
        <w:tblStyle w:val="Table"/>
        <w:tblW w:type="pct" w:w="5000"/>
        <w:tblLayout w:type="fixed"/>
        <w:tblLook w:firstRow="0" w:lastRow="0" w:firstColumn="0" w:lastColumn="0" w:noHBand="0" w:noVBand="0" w:val="0000"/>
      </w:tblPr>
      <w:tblGrid>
        <w:gridCol w:w="7920"/>
      </w:tblGrid>
      <w:tr>
        <w:tc>
          <w:tcPr/>
          <w:bookmarkStart w:id="284"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286"/>
        </w:tc>
      </w:tr>
    </w:tbl>
    <w:bookmarkEnd w:id="2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3" Target="media/rId263.png" /><Relationship Type="http://schemas.openxmlformats.org/officeDocument/2006/relationships/image" Id="rId54" Target="media/rId54.png" /><Relationship Type="http://schemas.openxmlformats.org/officeDocument/2006/relationships/image" Id="rId251" Target="media/rId25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7" Target="media/rId267.png" /><Relationship Type="http://schemas.openxmlformats.org/officeDocument/2006/relationships/image" Id="rId255" Target="media/rId255.png" /><Relationship Type="http://schemas.openxmlformats.org/officeDocument/2006/relationships/image" Id="rId28" Target="media/rId28.png" /><Relationship Type="http://schemas.openxmlformats.org/officeDocument/2006/relationships/image" Id="rId279" Target="media/rId279.png" /><Relationship Type="http://schemas.openxmlformats.org/officeDocument/2006/relationships/image" Id="rId62" Target="media/rId62.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59" Target="media/rId259.png"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7"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5"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5"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5" Target="https://doi.org/10.1073/pnas.1920012117" TargetMode="External" /><Relationship Type="http://schemas.openxmlformats.org/officeDocument/2006/relationships/hyperlink" Id="rId201"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5"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7"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9" Target="https://doi.org/10.1111/ecog.05763" TargetMode="External" /><Relationship Type="http://schemas.openxmlformats.org/officeDocument/2006/relationships/hyperlink" Id="rId248"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3"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3"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3" Target="https://doi.org/10.1665/1082-6467(2001)010[0347:AOLAGT]2.0.CO;2" TargetMode="External" /><Relationship Type="http://schemas.openxmlformats.org/officeDocument/2006/relationships/hyperlink" Id="rId125"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10"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7"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5"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5"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5" Target="https://doi.org/10.1073/pnas.1920012117" TargetMode="External" /><Relationship Type="http://schemas.openxmlformats.org/officeDocument/2006/relationships/hyperlink" Id="rId201"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5"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7"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9" Target="https://doi.org/10.1111/ecog.05763" TargetMode="External" /><Relationship Type="http://schemas.openxmlformats.org/officeDocument/2006/relationships/hyperlink" Id="rId248"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3"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3"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3" Target="https://doi.org/10.1665/1082-6467(2001)010[0347:AOLAGT]2.0.CO;2" TargetMode="External" /><Relationship Type="http://schemas.openxmlformats.org/officeDocument/2006/relationships/hyperlink" Id="rId125"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10"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2024-10-16T00:30:47Z</dcterms:created>
  <dcterms:modified xsi:type="dcterms:W3CDTF">2024-10-16T00:30:47Z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selecting carbohydrate-heavy diets (up to a 1p:20c ratio) for over a week after removal from the protein-rich environment, returning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2024-10-15</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